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Lisenssisopimus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Nimi</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Osoite:</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jota edustaa tämän sopimuksen allekirjoittamiseksi asianmukaisesti valtuutettuna edustajana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[nimi, asema/tehtävä],</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jäljempänä ’</w:t>
      </w:r>
      <w:r>
        <w:rPr>
          <w:rFonts w:ascii="Calibri" w:hAnsi="Calibri"/>
          <w:b/>
          <w:sz w:val="22"/>
          <w:szCs w:val="22"/>
        </w:rPr>
        <w:t>lisenssinantaja</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sekä</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Euroopan unioni edustajanaan Euroopan komissio, jonka kotipaikka on osoitteessa </w:t>
      </w:r>
      <w:proofErr w:type="spellStart"/>
      <w:r>
        <w:rPr>
          <w:rFonts w:ascii="Calibri" w:hAnsi="Calibri"/>
          <w:sz w:val="22"/>
          <w:szCs w:val="22"/>
        </w:rPr>
        <w:t>Rue</w:t>
      </w:r>
      <w:proofErr w:type="spellEnd"/>
      <w:r>
        <w:rPr>
          <w:rFonts w:ascii="Calibri" w:hAnsi="Calibri"/>
          <w:sz w:val="22"/>
          <w:szCs w:val="22"/>
        </w:rPr>
        <w:t xml:space="preserve"> de la Loi 200, 1049 Bryssel, Belgia, jäljempänä ’</w:t>
      </w:r>
      <w:r>
        <w:rPr>
          <w:rFonts w:ascii="Calibri" w:hAnsi="Calibri"/>
          <w:b/>
          <w:sz w:val="22"/>
          <w:szCs w:val="22"/>
        </w:rPr>
        <w:t>lisenssinsaaja</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jäljempänä yhdessä ’sopimuspuolet’.</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Ottaen huomioon, että lisenssinantaja on alla kuvaillun teoksen, jäljempänä ’teos’, omistaja tai hänellä/sillä on tarvittava laillinen oikeus myöntää lisenssi teoksen käyttöön, sopimuspuolet sopivat seuraavaa:</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Videon (videoiden) nimi ja lyhyt kuvaus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Videon kesto: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Videon omistaja ja tekijä (jos eri henkilöitä):</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Videossa esiintyvien näyttelijöiden nimet:</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Tekovuosi (tekovuodet)</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Lisenssinantaja antaa lisenssinsaajalle yksinoikeudettoman, rojaltimaksuttoman, siirrettävissä olevan, alilisensoitavan ja maailmanlaajuisen luvan käyttää teosta.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Teoksen käyttöoikeus sisältää pääasiassa seuraavat oikeudet: jäljentäminen, tallentaminen, jakelu, muuttaminen, julkaiseminen, näyttäminen, levittäminen, johdannaisteosten tekeminen, lähettäminen, välittäminen yleisölle tai asettaminen muutoin julkisesti saataville missä tahansa muodossa, mitä tahansa välinettä käyttäen ja millä tahansa kielellä, myös Euroopan unionin </w:t>
      </w:r>
      <w:r>
        <w:rPr>
          <w:rFonts w:ascii="Calibri" w:hAnsi="Calibri"/>
          <w:sz w:val="22"/>
          <w:szCs w:val="22"/>
        </w:rPr>
        <w:lastRenderedPageBreak/>
        <w:t xml:space="preserve">verkkosivustoilla ja virallisilla sosiaalisen median sivuilla tai kolmansien osapuolten verkkosivustoilla ja televisiossa.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Selvyyden vuoksi todettakoon, että lisenssinsaaja voi lisätä teokseen ääntä tai uusia elementtejä (kappaleita, otsikoita, ingressejä, lihavointeja, kuvatekstejä, sisällysluetteloita, tiivistelmiä, graafisia elementtejä ja tekstityksiä kaikilla EU:n virallisilla kielillä), muokata teoksen esitykseksi, animaatioksi, piktogrammiksi tai diaesitykseksi, erottaa osan teoksesta tai jakaa sen osiin sekä arkistoida teoksen tai liittää sen Euroopan komission tietokantoihin, myös sähköisiin tietokantoihin, jotka ovat maksutta yleisön saatavilla, ja käyttää sitä mihin tahansa muuhun tarkoitukseen, joka on tarpeen Euroopan unionin tehtävien toteuttamiseksi.</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Lisenssinsaajalla on oikeus valtuuttaa työntekijänsä ja alihankkijansa käyttämään puolestaan edellä mainittuja lisenssinantajan myöntämiä oikeuksia. </w:t>
      </w:r>
    </w:p>
    <w:p w14:paraId="5E9C1ADB" w14:textId="6D7CF958" w:rsidR="0063439C" w:rsidRPr="005D025C" w:rsidRDefault="002D6C19" w:rsidP="002D6C19">
      <w:pPr>
        <w:numPr>
          <w:ilvl w:val="0"/>
          <w:numId w:val="3"/>
        </w:numPr>
        <w:spacing w:after="120"/>
        <w:jc w:val="both"/>
        <w:rPr>
          <w:rFonts w:ascii="Calibri" w:hAnsi="Calibri" w:cs="Calibri"/>
          <w:sz w:val="22"/>
          <w:szCs w:val="22"/>
        </w:rPr>
      </w:pPr>
      <w:r w:rsidRPr="002D6C19">
        <w:rPr>
          <w:rFonts w:ascii="Calibri" w:hAnsi="Calibri"/>
          <w:sz w:val="22"/>
          <w:szCs w:val="22"/>
        </w:rPr>
        <w:t>Ei sovelleta</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Lisenssi myönnetään tekijänoikeuksien ja tarvittaessa lähioikeuksien koko keston ajaksi.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Kaikki teokseen liittyvät tekijänoikeudet ja muut immateriaalioikeudet jäävät lisenssinantajan omistukseen eikä lisenssinsaaja saa omistusoikeuksia teokseen.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Johdannaisteoksia ovat lisenssinsaajan tai sen alihankkijoiden tekemät alkuperäiset teokset, joissa teosta hyödynnetään. Johdannaisteokset omistaa lisenssinsaaja, sanotun kuitenkaan rajoittamatta edellä esitetyn soveltamista.</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Lisenssinsaajalle tässä sopimuksessa myönnettyjen oikeuksien käyttö edellyttää, että lisenssinsaaja esittää seuraavan lisenssinantajaan ja teoksen tekijään asianmukaisesti viittaavan maininnan: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[lisenssinantajan tekijänoikeusilmoitus – esimerkki: © lisenssinantaja, vuosi]</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Tässä sopimuksessa myönnettävien oikeuksien käyttäminen edellyttää, että lisenssinsaaja maksaa lisenssinantajalle yhteensä [määrä] euroa. Kun tämä määrä on maksettu, lisenssinantaja ei pyydä eikä vaadi lisenssinsaajalta enää muita korvauksia, jotka liittyvät videoon</w:t>
      </w:r>
      <w:bookmarkStart w:id="0" w:name="_GoBack"/>
      <w:bookmarkEnd w:id="0"/>
      <w:r>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takaa, että hän/se on saanut kaikki tarvittavat luvat voidakseen myöntää edellä mainitut oikeudet, ja takaa saaneensa teokseen liittyvien tekijänoikeuksien, lähioikeuksien ja muiden immateriaalioikeuksien haltijoilta kaikki tarvittavat luvat sekä tarvittaessa kirjalliset luvat teoksessa kuvatuilta henkilöiltä.</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takaa, että lisenssinsaajalle tässä sopimuksessa myönnettyjen immateriaalioikeuksien käyttö ei nyt eikä tulevaisuudessa loukkaa kolmansien osapuolten oikeuksia. Lisenssinantaja muun muassa takaa erityisesti, ettei teos loukkaa kolmansien osapuolten tekijänoikeuksia ja lähioikeuksia tai kuvaoikeuksia.</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sitoutuu korvaamaan lisenssinsaajalle aiheutuvat vahingot, puolustamaan sitä ja vapauttamaan sen vastuusta erilaisten sitä vastaan esitettyjen vaateiden, vaatimusten tai kanteiden osalta sekä korvaamaan mahdolliset kulut tai kustannukset, mukaan lukien oikeudenkäyntikulut, jotka liittyvät tässä sopimuksessa myönnettyjen immateriaalioikeuksien käytöstä johtuvia vastuita koskeviin tuomioihin ja oikeudellisiin menettelyihin (esim. siinä tapauksessa, että kolmas osapuoli esittää Euroopan komissiolle vaatimuksia, jotka koskevat teoksen käyttöä).</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Lisenssinantaja antaa täten luvan henkilötietojensa käsittelyyn siinä määrin kuin se on tarpeellista edellä mainittujen tavoitteiden saavuttamiseksi. Lisenssinsaaja takaa, että henkilötietoja käsitellään asetuksessa (EU) 2018/1725 vahvistettujen sääntöjen mukaisesti. Lisenssinsaaja voi arkistoida tiedot.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Rekisteröitynä lisenssinantajalla on oikeus tutustua henkilötietoihinsa, saada tieto siitä, onko tietoja käsitelty, ja siitä, missä laajuudessa se on tapahtunut, sekä korjata mahdolliset väärät henkilötiedot. Näiden oikeuksien käyttämiseksi lisenssinantaja voi ottaa yhteyttä seuraavaan henkilöön: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[tähän lisätään sen henkilön tiedot, jolle kyseiset kyselyt tulee lähettää].</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Tässä sopimuksessa myönnettävien oikeuksien käyttämiseen ja sopimuksen tulkintaan sovelletaan Euroopan unionin oikeutta, jota täydennetään tarvittaessa Belgian lain asiaa koskevilla säännöksillä. Kaikki tämän sopimuksen kohteesta johtuvat tai siihen liittyvät erimielisyydet, ristiriidat tai valitukset, joita lisenssinantaja ja lisenssinsaaja eivät pysty yhteisymmärryksessä ratkaisemaan, käsitellään Brysselin tuomioistuimissa.</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Lisenssinantajan puolesta</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Paikka ja aika: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Allekirjoitus: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[Nimi]</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[tarvittaessa asema/tehtävä]</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2D6C19">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Oikeushenkilön nimi tai luonnollisen henkilön etu- ja sukunimi.</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Vain oikeushenkilöiden tapauksessa.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D6C19"/>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fi-FI"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C700-F6D5-4FF0-B5E4-2768ABA6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599</Words>
  <Characters>5086</Characters>
  <Application>Microsoft Office Word</Application>
  <DocSecurity>0</DocSecurity>
  <Lines>95</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5646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2020-09-14T09:40:00Z</dcterms:modified>
</cp:coreProperties>
</file>